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2972D82B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6159EC57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</w:p>
    <w:p w14:paraId="4F5B0D5E">
      <w:pPr>
        <w:bidi w:val="0"/>
        <w:jc w:val="center"/>
        <w:rPr>
          <w:b/>
          <w:bCs/>
        </w:rPr>
      </w:pPr>
      <w:r>
        <w:rPr>
          <w:rStyle w:val="9"/>
          <w:rFonts w:hint="default"/>
          <w:sz w:val="21"/>
          <w:szCs w:val="21"/>
          <w:lang w:val="ru-RU"/>
        </w:rPr>
        <w:t xml:space="preserve"> </w:t>
      </w:r>
      <w:r>
        <w:rPr>
          <w:b/>
          <w:bCs/>
        </w:rPr>
        <w:t>БЕРЛИН — АМСТЕРДАМ — ПАРК ЦВЕТОВ КЕКЕНХОФ* — ПАРИЖ (3 ДНЯ) — НОРМАНДИЯ* — ВЕРСАЛЬ* — ЛЮКСЕМБУРГ</w:t>
      </w:r>
    </w:p>
    <w:p w14:paraId="1AA157DC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lang w:val="ru-RU"/>
        </w:rPr>
      </w:pPr>
      <w:r>
        <w:rPr>
          <w:rStyle w:val="9"/>
        </w:rPr>
        <w:t>9 дней/7 ночей, без ночных переездов</w:t>
      </w:r>
      <w:r>
        <w:rPr>
          <w:rStyle w:val="9"/>
          <w:rFonts w:hint="default"/>
          <w:lang w:val="ru-RU"/>
        </w:rPr>
        <w:t xml:space="preserve">   </w:t>
      </w:r>
      <w:r>
        <w:rPr>
          <w:rStyle w:val="9"/>
        </w:rPr>
        <w:t xml:space="preserve">Даты тура: </w:t>
      </w:r>
      <w:r>
        <w:rPr>
          <w:rStyle w:val="9"/>
          <w:rFonts w:hint="default"/>
          <w:lang w:val="ru-RU"/>
        </w:rPr>
        <w:t xml:space="preserve"> </w:t>
      </w:r>
      <w:r>
        <w:rPr>
          <w:rStyle w:val="9"/>
        </w:rPr>
        <w:t>18.04(19.04) – 26.04.202</w:t>
      </w:r>
      <w:r>
        <w:rPr>
          <w:rStyle w:val="9"/>
          <w:rFonts w:hint="default"/>
          <w:lang w:val="ru-RU"/>
        </w:rPr>
        <w:t>6</w:t>
      </w:r>
    </w:p>
    <w:p w14:paraId="72154C18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lang w:val="ru-RU"/>
        </w:rPr>
      </w:pPr>
      <w:r>
        <w:rPr>
          <w:rStyle w:val="9"/>
        </w:rPr>
        <w:t>Стоимость тура: 615 евро</w:t>
      </w:r>
      <w:r>
        <w:rPr>
          <w:rStyle w:val="9"/>
          <w:rFonts w:hint="default"/>
          <w:lang w:val="ru-RU"/>
        </w:rPr>
        <w:t xml:space="preserve"> + 250 рублей</w:t>
      </w:r>
    </w:p>
    <w:p w14:paraId="582E7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/>
          <w:b/>
          <w:bCs/>
          <w:color w:val="auto"/>
          <w:sz w:val="18"/>
          <w:szCs w:val="18"/>
          <w:lang w:val="ru-RU" w:eastAsia="zh-CN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>
        <w:rPr>
          <w:rFonts w:hint="default"/>
          <w:b/>
          <w:bCs/>
          <w:color w:val="auto"/>
          <w:sz w:val="18"/>
          <w:szCs w:val="18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Georgia"/>
                <w:sz w:val="10"/>
                <w:szCs w:val="10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 w:eastAsia="zh-CN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Отправление из Минска днём или вечером. Прохождение границы.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277C2B5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Транзит по территории Польши, Германии. По пути ночлег в транзитном отеле на территории Германии.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</w:rPr>
              <w:t>3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595D32D4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Берлин – столицу Германии, самый космополитичный город страны, собравший в себе множество достопримечательностей столь близких и понятных русскоговорящей душе. Обзорная автобусно-пешеходная экскурсия по Берлину: Рейхстаг, Бранденбургские ворота, улица Унтер ден Лиден, Александрплац, Берлинский собор, музейный остров, и др. Отправление в Амстердам. По пути ночлег в транзитном отеле на территории Голландии.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en-US"/>
              </w:rPr>
              <w:t>4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- день</w:t>
            </w:r>
          </w:p>
        </w:tc>
        <w:tc>
          <w:tcPr>
            <w:tcW w:w="9612" w:type="dxa"/>
            <w:noWrap w:val="0"/>
            <w:vAlign w:val="top"/>
          </w:tcPr>
          <w:p w14:paraId="06A659BB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Завтрак. Выселение из отеля. Переезд в Амстердам – столицу Нидерландов, самого раскрепощенного государства Европы, где на фоне роскошной архитектуры XVII века торжествуют свободные нравы века XXI. По прибытии – экскурсия на фабрику бриллиантов — место, где рождается сказочная красота! Во время экскурсии по фабрике вы сможете увидеть, как работают ювелиры, и проследить все этапы обработки минералов. А после – приглашаем прогуляться на катере по каналам города* (доплата 20 евро, группа от 20 человек), где вы сможете полюбоваться уникальной архитектурой, узнать об истории города, его значении в жизни великих людей. Свободное время. rn*За доплату предлагается посещение Национального парка Кекенхоф — сказочного парково-цветочного королевства, раскинувшееся на площади в 32 га (доплата 45 евро с входным билетом). Кекенхоф — всемирно известный парк цветов, который считается одним из красивейших мест на нашей планете который открывает свои двери всего на два месяца в году. rnОтправление в Париж. По пути ночлег в транзитном отеле на территории Франции.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5 день </w:t>
            </w:r>
          </w:p>
        </w:tc>
        <w:tc>
          <w:tcPr>
            <w:tcW w:w="9612" w:type="dxa"/>
            <w:noWrap w:val="0"/>
            <w:vAlign w:val="top"/>
          </w:tcPr>
          <w:p w14:paraId="6E54161D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Завтрак. Выселение из отеля. Переезд в Париж. По прибытии — обзорная экскурсия по столице Франции: Большие Бульвары, Опера, пл. Согласия, остров Сите, Елисейские Поля и др. Свободное время в городе.rn* В свободное время можно отправиться на пешеходную экскурсию Сите + Чрево Парижа: Пале-Рояль, старый рынок, Церковь Святого Евстафия, Центр Помпиду, и, конечно, главный собор Парижа – Нотр Дам (доплата 15 евро, дети до 12 лет – 10 евро, группа от 20 человек).rn* А вечером все желающие могут совершить круиз на теплоходе по Сене и полюбоваться монументальной застройкой набережных главной реки Парижа (доплата 25 евро, группа от 20 человек). Ночлег в отеле в пригороде Парижа.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6  день</w:t>
            </w:r>
          </w:p>
        </w:tc>
        <w:tc>
          <w:tcPr>
            <w:tcW w:w="9612" w:type="dxa"/>
            <w:noWrap w:val="0"/>
            <w:vAlign w:val="top"/>
          </w:tcPr>
          <w:p w14:paraId="30077C81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Завтрак. Переезд в Париж. Свободное время в городе для посещения многочисленных музеев, кафе, магазинов. rn*Или для желающих возможна поездка в Нормандию с посещением средневекого Руана, города, где сожгли Орлеанскую деву Жанну Д’Арк, уютного портового города Онфлера, славящегося деликатесами из морепродуктов, и курортного Довиля, где стоит окунуться в Ла-Манш. Живописные пейзажи и шедевральная готическая архитектура оставят в вашей памяти неизгладимые впечатления (доплата 70 евро, дети до 12 лет – 55 евро, группа от 20 человек). Ночлег в отеле в пригороде Парижа.</w:t>
            </w:r>
          </w:p>
        </w:tc>
      </w:tr>
      <w:tr w14:paraId="08BB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8F40C9C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7 день</w:t>
            </w:r>
          </w:p>
        </w:tc>
        <w:tc>
          <w:tcPr>
            <w:tcW w:w="9612" w:type="dxa"/>
            <w:noWrap w:val="0"/>
            <w:vAlign w:val="top"/>
          </w:tcPr>
          <w:p w14:paraId="7DE80CDC">
            <w:pPr>
              <w:bidi w:val="0"/>
              <w:rPr>
                <w:rFonts w:hint="default"/>
                <w:sz w:val="22"/>
                <w:szCs w:val="16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Переезд в Париж. Свободное время для посещения музеев и магазинов. rn* Для желающих в свободное время возможна экскурсия по Монмартру – старинному провинциальному уголку помпезного города, малой родине величайших художников-импрессионистов, а по совместительству высочайшему холму Парижа, где величественно расположилась одна из визитных карточек столицы – церковь Сакре-Кер (доплата 15 евро, дети до 12 лет – 10 евро, группа от 20 человек). rn* Также для желающих возможна экскурсия в Версаль – самую знаменитую и роскошную резиденцию французских королей, построенную по приказу «Короля-Солнца» Людовика IV (доплата 40 евро с входным билетом и аудиогидом, дети до 18 лет – 20 евро, группа от 20 человек). Отправление в Люксембург. По пути ночлег в транзитном отеле на территории Франции.</w:t>
            </w:r>
          </w:p>
        </w:tc>
      </w:tr>
      <w:tr w14:paraId="516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D28C2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8 день</w:t>
            </w:r>
          </w:p>
        </w:tc>
        <w:tc>
          <w:tcPr>
            <w:tcW w:w="9612" w:type="dxa"/>
            <w:noWrap w:val="0"/>
            <w:vAlign w:val="top"/>
          </w:tcPr>
          <w:p w14:paraId="14B0CFA6">
            <w:pPr>
              <w:bidi w:val="0"/>
              <w:rPr>
                <w:rFonts w:hint="default"/>
                <w:sz w:val="22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Люксембург — столицу одноименного герцогства. Обзорная пешеходная экскурсия по городу: старинные кварталы и укрепления Люксембурга, Собор Люксембургской Богоматери, площадь Гийома II, дворец Великих герцогов и др. Свободное время. rnОтправление в Минск. Транзит по территории Германии. Польши. По пути ночлег в транзитном отеле на территории Польши.</w:t>
            </w:r>
          </w:p>
        </w:tc>
      </w:tr>
      <w:tr w14:paraId="6857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36788CA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9 день</w:t>
            </w:r>
          </w:p>
        </w:tc>
        <w:tc>
          <w:tcPr>
            <w:tcW w:w="9612" w:type="dxa"/>
            <w:noWrap w:val="0"/>
            <w:vAlign w:val="top"/>
          </w:tcPr>
          <w:p w14:paraId="70B40D3B">
            <w:pPr>
              <w:bidi w:val="0"/>
              <w:rPr>
                <w:rFonts w:hint="default"/>
                <w:sz w:val="22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      </w:r>
          </w:p>
        </w:tc>
      </w:tr>
    </w:tbl>
    <w:p w14:paraId="3F7AB7F9">
      <w:pPr>
        <w:bidi w:val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</w:p>
    <w:p w14:paraId="602C10B6">
      <w:pPr>
        <w:numPr>
          <w:ilvl w:val="0"/>
          <w:numId w:val="1"/>
        </w:numPr>
        <w:bidi w:val="0"/>
        <w:rPr>
          <w:sz w:val="18"/>
          <w:szCs w:val="18"/>
        </w:rPr>
      </w:pPr>
      <w:r>
        <w:rPr>
          <w:szCs w:val="10"/>
        </w:rPr>
        <w:t xml:space="preserve"> </w:t>
      </w:r>
      <w:r>
        <w:rPr>
          <w:b/>
          <w:bCs/>
          <w:szCs w:val="2"/>
        </w:rPr>
        <w:t>В стоимость входит:</w:t>
      </w:r>
      <w:r>
        <w:rPr>
          <w:szCs w:val="2"/>
        </w:rPr>
        <w:t xml:space="preserve"> </w:t>
      </w:r>
      <w:r>
        <w:rPr>
          <w:rFonts w:hint="default"/>
          <w:szCs w:val="2"/>
          <w:lang w:val="ru-RU"/>
        </w:rPr>
        <w:t xml:space="preserve"> </w:t>
      </w:r>
      <w:r>
        <w:rPr>
          <w:rFonts w:hint="default"/>
          <w:szCs w:val="11"/>
          <w:lang w:val="ru-RU" w:eastAsia="zh-CN"/>
        </w:rPr>
        <w:t xml:space="preserve"> </w:t>
      </w:r>
      <w:r>
        <w:rPr>
          <w:rFonts w:hint="default"/>
          <w:szCs w:val="18"/>
          <w:lang w:val="ru-RU"/>
        </w:rPr>
        <w:t xml:space="preserve"> </w:t>
      </w:r>
      <w:r>
        <w:rPr>
          <w:sz w:val="18"/>
          <w:szCs w:val="18"/>
        </w:rPr>
        <w:t>проезд автобусом туристического класса;</w:t>
      </w:r>
      <w:r>
        <w:rPr>
          <w:rFonts w:hint="default"/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проживание в транзитных отелях туристического класса;</w:t>
      </w:r>
      <w:r>
        <w:rPr>
          <w:rFonts w:hint="default"/>
          <w:sz w:val="18"/>
          <w:szCs w:val="18"/>
          <w:lang w:val="ru-RU"/>
        </w:rPr>
        <w:t xml:space="preserve">  </w:t>
      </w:r>
      <w:r>
        <w:rPr>
          <w:sz w:val="18"/>
          <w:szCs w:val="18"/>
        </w:rPr>
        <w:t>континентальные завтраки в дни проживания в транзитных отелях;</w:t>
      </w:r>
    </w:p>
    <w:p w14:paraId="23AB4CFC">
      <w:pPr>
        <w:numPr>
          <w:ilvl w:val="0"/>
          <w:numId w:val="1"/>
        </w:numPr>
        <w:bidi w:val="0"/>
        <w:rPr>
          <w:sz w:val="18"/>
          <w:szCs w:val="18"/>
        </w:rPr>
      </w:pPr>
      <w:r>
        <w:rPr>
          <w:sz w:val="18"/>
          <w:szCs w:val="18"/>
        </w:rPr>
        <w:t>экскурсионное обслуживание согласно программе тура и сопровождающий по маршруту в экскурсионные дни.</w:t>
      </w:r>
    </w:p>
    <w:p w14:paraId="0DEF7DEF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Cs w:val="6"/>
          <w:lang w:val="ru-RU" w:eastAsia="zh-CN"/>
        </w:rPr>
        <w:t xml:space="preserve"> </w:t>
      </w:r>
      <w:r>
        <w:rPr>
          <w:rFonts w:hint="default"/>
          <w:szCs w:val="8"/>
          <w:lang w:val="ru-RU" w:eastAsia="zh-CN"/>
        </w:rPr>
        <w:t xml:space="preserve"> </w:t>
      </w:r>
      <w:r>
        <w:rPr>
          <w:b/>
          <w:bCs/>
          <w:szCs w:val="4"/>
        </w:rPr>
        <w:t>Дополнительно оплачиваются:</w:t>
      </w:r>
      <w:r>
        <w:rPr>
          <w:b/>
          <w:bCs/>
          <w:szCs w:val="2"/>
        </w:rPr>
        <w:t xml:space="preserve"> </w:t>
      </w:r>
      <w:r>
        <w:rPr>
          <w:rFonts w:hint="default"/>
          <w:szCs w:val="6"/>
          <w:lang w:val="ru-RU" w:eastAsia="zh-CN"/>
        </w:rPr>
        <w:t xml:space="preserve"> </w:t>
      </w:r>
      <w:r>
        <w:rPr>
          <w:rFonts w:hint="default"/>
          <w:szCs w:val="8"/>
          <w:lang w:val="ru-RU" w:eastAsia="zh-CN"/>
        </w:rPr>
        <w:t xml:space="preserve"> </w:t>
      </w:r>
      <w:r>
        <w:rPr>
          <w:rStyle w:val="9"/>
          <w:rFonts w:hint="default"/>
          <w:szCs w:val="18"/>
          <w:lang w:val="ru-RU"/>
        </w:rPr>
        <w:t xml:space="preserve">  </w:t>
      </w:r>
      <w:bookmarkStart w:id="0" w:name="_GoBack"/>
      <w:r>
        <w:rPr>
          <w:sz w:val="15"/>
          <w:szCs w:val="15"/>
        </w:rPr>
        <w:t>тур. услуга — 250 рублей;</w:t>
      </w:r>
      <w:r>
        <w:rPr>
          <w:rFonts w:hint="default"/>
          <w:sz w:val="15"/>
          <w:szCs w:val="15"/>
          <w:lang w:val="ru-RU"/>
        </w:rPr>
        <w:t xml:space="preserve"> </w:t>
      </w:r>
      <w:r>
        <w:rPr>
          <w:sz w:val="15"/>
          <w:szCs w:val="15"/>
        </w:rPr>
        <w:t>шенген виза — 35 евро;</w:t>
      </w:r>
      <w:r>
        <w:rPr>
          <w:rFonts w:hint="default"/>
          <w:sz w:val="15"/>
          <w:szCs w:val="15"/>
          <w:lang w:val="ru-RU"/>
        </w:rPr>
        <w:t xml:space="preserve"> </w:t>
      </w:r>
      <w:r>
        <w:rPr>
          <w:sz w:val="15"/>
          <w:szCs w:val="15"/>
        </w:rPr>
        <w:t>мед. страховка;</w:t>
      </w:r>
    </w:p>
    <w:p w14:paraId="7CE9AAAE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sz w:val="15"/>
          <w:szCs w:val="15"/>
        </w:rPr>
        <w:t>городской налог (обязательная оплата) – 15 евро;</w:t>
      </w:r>
      <w:r>
        <w:rPr>
          <w:rFonts w:hint="default"/>
          <w:sz w:val="15"/>
          <w:szCs w:val="15"/>
          <w:lang w:val="ru-RU"/>
        </w:rPr>
        <w:t xml:space="preserve"> </w:t>
      </w:r>
      <w:r>
        <w:rPr>
          <w:sz w:val="15"/>
          <w:szCs w:val="15"/>
        </w:rPr>
        <w:t>наушники во время проведения экскурсий (обязательная оплата) – 15 евро за весь тур;</w:t>
      </w:r>
    </w:p>
    <w:p w14:paraId="63316F73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sz w:val="15"/>
          <w:szCs w:val="15"/>
        </w:rPr>
        <w:t>дополнительный трансфер погранпереход РБ — территория ЕС при необходимости — 30 евро (обязательная доплата);</w:t>
      </w:r>
    </w:p>
    <w:p w14:paraId="24DBED3A">
      <w:pPr>
        <w:numPr>
          <w:ilvl w:val="0"/>
          <w:numId w:val="2"/>
        </w:numPr>
        <w:bidi w:val="0"/>
        <w:rPr>
          <w:rFonts w:hint="default"/>
          <w:sz w:val="22"/>
          <w:szCs w:val="22"/>
          <w:lang w:val="en-US"/>
        </w:rPr>
      </w:pPr>
      <w:r>
        <w:rPr>
          <w:sz w:val="15"/>
          <w:szCs w:val="15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bookmarkEnd w:id="0"/>
    <w:p w14:paraId="7E9C233F">
      <w:pPr>
        <w:numPr>
          <w:ilvl w:val="0"/>
          <w:numId w:val="0"/>
        </w:numPr>
        <w:bidi w:val="0"/>
        <w:ind w:left="360" w:leftChars="0"/>
        <w:rPr>
          <w:rFonts w:hint="default"/>
          <w:sz w:val="13"/>
          <w:szCs w:val="13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26E9"/>
    <w:multiLevelType w:val="multilevel"/>
    <w:tmpl w:val="FDDF26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15146CA"/>
    <w:multiLevelType w:val="multilevel"/>
    <w:tmpl w:val="415146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18A81D34"/>
    <w:rsid w:val="19B5429F"/>
    <w:rsid w:val="1C7514D3"/>
    <w:rsid w:val="21B20CD5"/>
    <w:rsid w:val="2A0B37A8"/>
    <w:rsid w:val="2F494444"/>
    <w:rsid w:val="336A6AC0"/>
    <w:rsid w:val="3B940CE1"/>
    <w:rsid w:val="49A503D0"/>
    <w:rsid w:val="4B0E2684"/>
    <w:rsid w:val="51A764B5"/>
    <w:rsid w:val="5286526C"/>
    <w:rsid w:val="60234002"/>
    <w:rsid w:val="61340E65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72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2025-12-26T11:29:19Z</cp:lastPrinted>
  <dcterms:modified xsi:type="dcterms:W3CDTF">2025-12-26T11:43:43Z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B97BD13A9BB74E2E84D7F29B383EFF82_13</vt:lpwstr>
  </property>
</Properties>
</file>